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36D" w:rsidRDefault="00E5536D" w:rsidP="00E5536D">
      <w:pPr>
        <w:autoSpaceDE w:val="0"/>
        <w:autoSpaceDN w:val="0"/>
        <w:adjustRightInd w:val="0"/>
        <w:spacing w:after="0" w:line="240" w:lineRule="auto"/>
        <w:rPr>
          <w:rFonts w:ascii="Arial" w:eastAsia="Times New Roman" w:hAnsi="Arial" w:cs="Arial"/>
          <w:b/>
        </w:rPr>
      </w:pPr>
      <w:r>
        <w:rPr>
          <w:rFonts w:ascii="Arial" w:eastAsia="Times New Roman" w:hAnsi="Arial" w:cs="Arial"/>
          <w:b/>
        </w:rPr>
        <w:t>ESSAY</w:t>
      </w:r>
    </w:p>
    <w:p w:rsidR="00E5536D" w:rsidRDefault="00E5536D" w:rsidP="00E5536D">
      <w:pPr>
        <w:spacing w:after="0" w:line="240" w:lineRule="auto"/>
        <w:jc w:val="center"/>
        <w:rPr>
          <w:rFonts w:ascii="Arial" w:hAnsi="Arial" w:cs="Arial"/>
          <w:b/>
        </w:rPr>
      </w:pPr>
    </w:p>
    <w:p w:rsidR="00E5536D" w:rsidRPr="00435B32" w:rsidRDefault="00E5536D" w:rsidP="00E5536D">
      <w:pPr>
        <w:spacing w:after="0" w:line="240" w:lineRule="auto"/>
        <w:jc w:val="center"/>
        <w:rPr>
          <w:rFonts w:ascii="Arial" w:hAnsi="Arial" w:cs="Arial"/>
          <w:b/>
        </w:rPr>
      </w:pPr>
      <w:r w:rsidRPr="00435B32">
        <w:rPr>
          <w:rFonts w:ascii="Arial" w:hAnsi="Arial" w:cs="Arial"/>
          <w:b/>
        </w:rPr>
        <w:t>BUY CHOCOLATE ONLINE? TRY GODIVA.COM</w:t>
      </w:r>
    </w:p>
    <w:p w:rsidR="00E5536D" w:rsidRPr="00435B32" w:rsidRDefault="00E5536D" w:rsidP="00E5536D">
      <w:pPr>
        <w:spacing w:after="0" w:line="240" w:lineRule="auto"/>
        <w:jc w:val="both"/>
        <w:rPr>
          <w:rFonts w:ascii="Arial" w:hAnsi="Arial" w:cs="Arial"/>
          <w:b/>
        </w:rPr>
      </w:pPr>
    </w:p>
    <w:p w:rsidR="00E5536D" w:rsidRPr="00435B32" w:rsidRDefault="00E5536D" w:rsidP="00E5536D">
      <w:pPr>
        <w:spacing w:after="0" w:line="240" w:lineRule="auto"/>
        <w:jc w:val="both"/>
        <w:rPr>
          <w:rFonts w:ascii="Arial" w:hAnsi="Arial" w:cs="Arial"/>
          <w:b/>
        </w:rPr>
      </w:pPr>
      <w:r w:rsidRPr="00435B32">
        <w:rPr>
          <w:rFonts w:ascii="Arial" w:hAnsi="Arial" w:cs="Arial"/>
          <w:b/>
        </w:rPr>
        <w:t>THE BUSINESS OPPORTUNITY</w:t>
      </w:r>
    </w:p>
    <w:p w:rsidR="00E5536D" w:rsidRPr="00435B32" w:rsidRDefault="00E5536D" w:rsidP="00E5536D">
      <w:pPr>
        <w:spacing w:after="0" w:line="240" w:lineRule="auto"/>
        <w:ind w:firstLine="720"/>
        <w:jc w:val="both"/>
        <w:rPr>
          <w:rFonts w:ascii="Arial" w:hAnsi="Arial" w:cs="Arial"/>
        </w:rPr>
      </w:pPr>
      <w:r w:rsidRPr="00435B32">
        <w:rPr>
          <w:rFonts w:ascii="Arial" w:hAnsi="Arial" w:cs="Arial"/>
        </w:rPr>
        <w:t xml:space="preserve">The demand for high-quality chocolate has been increasing rapidly since the early 1990s. Several local and global companies are competing in this market. Godiva </w:t>
      </w:r>
      <w:proofErr w:type="spellStart"/>
      <w:r w:rsidRPr="00435B32">
        <w:rPr>
          <w:rFonts w:ascii="Arial" w:hAnsi="Arial" w:cs="Arial"/>
        </w:rPr>
        <w:t>Chocolatier</w:t>
      </w:r>
      <w:proofErr w:type="spellEnd"/>
      <w:r w:rsidRPr="00435B32">
        <w:rPr>
          <w:rFonts w:ascii="Arial" w:hAnsi="Arial" w:cs="Arial"/>
        </w:rPr>
        <w:t xml:space="preserve"> is well known international company based in New York whose stores can be found in hundreds of malls worldwide. The company was looking for ways to increase its sales, and after rejecting the use of a CD-ROM catalog, it had the courage to try online sales as early as 1994. The company was a pioneering click-and-mortar e-business that exploited an opportunity years before its competitors.</w:t>
      </w:r>
    </w:p>
    <w:p w:rsidR="00E5536D" w:rsidRDefault="00E5536D" w:rsidP="00E5536D">
      <w:pPr>
        <w:spacing w:after="0" w:line="240" w:lineRule="auto"/>
        <w:jc w:val="both"/>
        <w:rPr>
          <w:rFonts w:ascii="Arial" w:hAnsi="Arial" w:cs="Arial"/>
          <w:b/>
        </w:rPr>
      </w:pPr>
    </w:p>
    <w:p w:rsidR="00E5536D" w:rsidRPr="00435B32" w:rsidRDefault="00E5536D" w:rsidP="00E5536D">
      <w:pPr>
        <w:spacing w:after="0" w:line="240" w:lineRule="auto"/>
        <w:jc w:val="both"/>
        <w:rPr>
          <w:rFonts w:ascii="Arial" w:hAnsi="Arial" w:cs="Arial"/>
          <w:b/>
        </w:rPr>
      </w:pPr>
      <w:r w:rsidRPr="00435B32">
        <w:rPr>
          <w:rFonts w:ascii="Arial" w:hAnsi="Arial" w:cs="Arial"/>
          <w:b/>
        </w:rPr>
        <w:t>THE PROJECT</w:t>
      </w:r>
    </w:p>
    <w:p w:rsidR="00E5536D" w:rsidRPr="00435B32" w:rsidRDefault="00E5536D" w:rsidP="00E5536D">
      <w:pPr>
        <w:spacing w:after="0" w:line="240" w:lineRule="auto"/>
        <w:ind w:firstLine="720"/>
        <w:jc w:val="both"/>
        <w:rPr>
          <w:rFonts w:ascii="Arial" w:hAnsi="Arial" w:cs="Arial"/>
        </w:rPr>
      </w:pPr>
      <w:r w:rsidRPr="00435B32">
        <w:rPr>
          <w:rFonts w:ascii="Arial" w:hAnsi="Arial" w:cs="Arial"/>
        </w:rPr>
        <w:t xml:space="preserve">Teaming with Fry Multimedia (an e-commerce pioneer), Godiva.com was created as a division of Godiva </w:t>
      </w:r>
      <w:proofErr w:type="spellStart"/>
      <w:r w:rsidRPr="00435B32">
        <w:rPr>
          <w:rFonts w:ascii="Arial" w:hAnsi="Arial" w:cs="Arial"/>
        </w:rPr>
        <w:t>Chocolatier</w:t>
      </w:r>
      <w:proofErr w:type="spellEnd"/>
      <w:r w:rsidRPr="00435B32">
        <w:rPr>
          <w:rFonts w:ascii="Arial" w:hAnsi="Arial" w:cs="Arial"/>
        </w:rPr>
        <w:t>. The objective was to sell online both to individuals and to businesses. Since its online beginnings in 1994, the godiva.com story parallels the dynamic growth of e-commerce. Godiva.com went through difficult time-testing e-commerce technologies as they appeared; failing at times, but maintaining its commitment to online selling; and, finally, becoming the fastest-growing division of Godiva, outpacing projections. Godiva.com embodies a true success story. Here we present some of the milestones encountered.</w:t>
      </w:r>
    </w:p>
    <w:p w:rsidR="00E5536D" w:rsidRPr="00435B32" w:rsidRDefault="00E5536D" w:rsidP="00E5536D">
      <w:pPr>
        <w:spacing w:after="0" w:line="240" w:lineRule="auto"/>
        <w:ind w:firstLine="720"/>
        <w:jc w:val="both"/>
        <w:rPr>
          <w:rFonts w:ascii="Arial" w:hAnsi="Arial" w:cs="Arial"/>
        </w:rPr>
      </w:pPr>
      <w:r w:rsidRPr="00435B32">
        <w:rPr>
          <w:rFonts w:ascii="Arial" w:hAnsi="Arial" w:cs="Arial"/>
        </w:rPr>
        <w:t xml:space="preserve">The major driving factors in 1994 were internet user groups of chocolate lovers, who were talking about Godiva and to whom the company hoped to sell its product online. Like other pioneers, Godiva had to build its web site from scratch without EC-building tools. A partnership was made with </w:t>
      </w:r>
      <w:proofErr w:type="spellStart"/>
      <w:r w:rsidRPr="00435B32">
        <w:rPr>
          <w:rFonts w:ascii="Arial" w:hAnsi="Arial" w:cs="Arial"/>
        </w:rPr>
        <w:t>Chocolatier</w:t>
      </w:r>
      <w:proofErr w:type="spellEnd"/>
      <w:r w:rsidRPr="00435B32">
        <w:rPr>
          <w:rFonts w:ascii="Arial" w:hAnsi="Arial" w:cs="Arial"/>
        </w:rPr>
        <w:t xml:space="preserve"> Magazine, allowing Godiva.com to showcase articles and recipes from the magazine on its site in exchange for providing an online magazine subscription form for e-shoppers. The recognition of the importance of relevant content was correct, as was the need for fresh content. The delivery of games and puzzles, which was considered necessary to attract people to EC sites, was found to be a failure. People were coming to learn about chocolate and Godiva and to buy – not to play games. Another concept that failed was the attempt to make the website look like the physical store. It was found that different marketing channels should look different from one another.</w:t>
      </w:r>
    </w:p>
    <w:p w:rsidR="00E5536D" w:rsidRPr="00435B32" w:rsidRDefault="00E5536D" w:rsidP="00E5536D">
      <w:pPr>
        <w:spacing w:after="0" w:line="240" w:lineRule="auto"/>
        <w:ind w:firstLine="720"/>
        <w:jc w:val="both"/>
        <w:rPr>
          <w:rFonts w:ascii="Arial" w:hAnsi="Arial" w:cs="Arial"/>
        </w:rPr>
      </w:pPr>
      <w:r w:rsidRPr="00435B32">
        <w:rPr>
          <w:rFonts w:ascii="Arial" w:hAnsi="Arial" w:cs="Arial"/>
        </w:rPr>
        <w:t>Godiva.com is a user-friendly place to shop. Its major features include electronic catalogs, some of which are constructed for special occasions (e.g. Mother’s day and Father’s day); a store locator (how to find nearest physical store and events at stores close to you); a shopping cart to make it easy to collect items to buy; a gift selector and a gift finder; custom photographs of the products; a search engine by product, price and other criteria; instructions on how to shop online (take a tour); a chocolate guide that’s shows you exactly what is inside each box; a place to click for live assistance or for a paper catalog; and the ability to create an address  list for shipping gifts to friends or employees. The site also features “My Account”, a personalized place where customers can access their order history, account, order status, and so on; general content about chocolate (and recipes); and tools for making shipping and payment arrangements.</w:t>
      </w:r>
    </w:p>
    <w:p w:rsidR="00E5536D" w:rsidRPr="00435B32" w:rsidRDefault="00E5536D" w:rsidP="00E5536D">
      <w:pPr>
        <w:spacing w:after="0" w:line="240" w:lineRule="auto"/>
        <w:ind w:firstLine="720"/>
        <w:jc w:val="both"/>
        <w:rPr>
          <w:rFonts w:ascii="Arial" w:hAnsi="Arial" w:cs="Arial"/>
        </w:rPr>
      </w:pPr>
      <w:r w:rsidRPr="00435B32">
        <w:rPr>
          <w:rFonts w:ascii="Arial" w:hAnsi="Arial" w:cs="Arial"/>
        </w:rPr>
        <w:t>Godiva.com sells both to individuals and to corporations. For corporations, incentive programs are offered, including address lists of employees or customers to whom the chocolate is to be sent – an example of the B2B2C EC Model.Godiva.com continues to add features to stay ahead of the competition. The site is now accessible using wireless technologies. For example, the store locator is available to wireless phone users, and Palm Pilot users can download mailing lists.</w:t>
      </w:r>
    </w:p>
    <w:p w:rsidR="00E5536D" w:rsidRPr="00435B32" w:rsidRDefault="00E5536D" w:rsidP="00E5536D">
      <w:pPr>
        <w:spacing w:after="0" w:line="240" w:lineRule="auto"/>
        <w:jc w:val="both"/>
        <w:rPr>
          <w:rFonts w:ascii="Arial" w:hAnsi="Arial" w:cs="Arial"/>
          <w:b/>
        </w:rPr>
      </w:pPr>
    </w:p>
    <w:p w:rsidR="00E5536D" w:rsidRDefault="00E5536D" w:rsidP="00E5536D">
      <w:pPr>
        <w:spacing w:after="0" w:line="240" w:lineRule="auto"/>
        <w:jc w:val="both"/>
        <w:rPr>
          <w:rFonts w:ascii="Arial" w:hAnsi="Arial" w:cs="Arial"/>
          <w:b/>
        </w:rPr>
      </w:pPr>
    </w:p>
    <w:p w:rsidR="00E5536D" w:rsidRPr="00435B32" w:rsidRDefault="00E5536D" w:rsidP="00E5536D">
      <w:pPr>
        <w:spacing w:after="0" w:line="240" w:lineRule="auto"/>
        <w:jc w:val="both"/>
        <w:rPr>
          <w:rFonts w:ascii="Arial" w:hAnsi="Arial" w:cs="Arial"/>
          <w:b/>
        </w:rPr>
      </w:pPr>
      <w:r w:rsidRPr="00435B32">
        <w:rPr>
          <w:rFonts w:ascii="Arial" w:hAnsi="Arial" w:cs="Arial"/>
          <w:b/>
        </w:rPr>
        <w:lastRenderedPageBreak/>
        <w:t>THE RESULT</w:t>
      </w:r>
    </w:p>
    <w:p w:rsidR="00E5536D" w:rsidRPr="00435B32" w:rsidRDefault="00E5536D" w:rsidP="00E5536D">
      <w:pPr>
        <w:spacing w:after="0" w:line="240" w:lineRule="auto"/>
        <w:ind w:firstLine="720"/>
        <w:jc w:val="both"/>
        <w:rPr>
          <w:rFonts w:ascii="Arial" w:hAnsi="Arial" w:cs="Arial"/>
        </w:rPr>
      </w:pPr>
      <w:proofErr w:type="spellStart"/>
      <w:r w:rsidRPr="00435B32">
        <w:rPr>
          <w:rFonts w:ascii="Arial" w:hAnsi="Arial" w:cs="Arial"/>
        </w:rPr>
        <w:t>Godiva.com’s</w:t>
      </w:r>
      <w:proofErr w:type="spellEnd"/>
      <w:r w:rsidRPr="00435B32">
        <w:rPr>
          <w:rFonts w:ascii="Arial" w:hAnsi="Arial" w:cs="Arial"/>
        </w:rPr>
        <w:t xml:space="preserve"> online sales have been growing at a double-digit rate every year, outpacing the </w:t>
      </w:r>
      <w:proofErr w:type="gramStart"/>
      <w:r w:rsidRPr="00435B32">
        <w:rPr>
          <w:rFonts w:ascii="Arial" w:hAnsi="Arial" w:cs="Arial"/>
        </w:rPr>
        <w:t>company’s :old</w:t>
      </w:r>
      <w:proofErr w:type="gramEnd"/>
      <w:r w:rsidRPr="00435B32">
        <w:rPr>
          <w:rFonts w:ascii="Arial" w:hAnsi="Arial" w:cs="Arial"/>
        </w:rPr>
        <w:t xml:space="preserve"> economy” divisions as well as the online stores of competitors.</w:t>
      </w:r>
    </w:p>
    <w:p w:rsidR="00E5536D" w:rsidRDefault="00E5536D" w:rsidP="00E5536D">
      <w:pPr>
        <w:spacing w:after="0" w:line="240" w:lineRule="auto"/>
        <w:jc w:val="right"/>
        <w:rPr>
          <w:rFonts w:ascii="Arial" w:hAnsi="Arial" w:cs="Arial"/>
          <w:b/>
        </w:rPr>
      </w:pPr>
    </w:p>
    <w:p w:rsidR="00E5536D" w:rsidRPr="00435B32" w:rsidRDefault="00E5536D" w:rsidP="00E5536D">
      <w:pPr>
        <w:spacing w:after="0" w:line="240" w:lineRule="auto"/>
        <w:jc w:val="right"/>
        <w:rPr>
          <w:rFonts w:ascii="Arial" w:hAnsi="Arial" w:cs="Arial"/>
          <w:b/>
        </w:rPr>
      </w:pPr>
      <w:r w:rsidRPr="00435B32">
        <w:rPr>
          <w:rFonts w:ascii="Arial" w:hAnsi="Arial" w:cs="Arial"/>
          <w:b/>
        </w:rPr>
        <w:t xml:space="preserve">Sources: </w:t>
      </w:r>
      <w:r w:rsidRPr="00435B32">
        <w:rPr>
          <w:rFonts w:ascii="Arial" w:hAnsi="Arial" w:cs="Arial"/>
          <w:b/>
          <w:iCs/>
        </w:rPr>
        <w:t xml:space="preserve">Electronic Commerce: </w:t>
      </w:r>
      <w:proofErr w:type="gramStart"/>
      <w:r w:rsidRPr="00435B32">
        <w:rPr>
          <w:rFonts w:ascii="Arial" w:hAnsi="Arial" w:cs="Arial"/>
          <w:b/>
          <w:iCs/>
        </w:rPr>
        <w:t>A Managerial</w:t>
      </w:r>
      <w:proofErr w:type="gramEnd"/>
      <w:r w:rsidRPr="00435B32">
        <w:rPr>
          <w:rFonts w:ascii="Arial" w:hAnsi="Arial" w:cs="Arial"/>
          <w:b/>
          <w:iCs/>
        </w:rPr>
        <w:t xml:space="preserve"> Perspective 2008, </w:t>
      </w:r>
      <w:proofErr w:type="spellStart"/>
      <w:r w:rsidRPr="00435B32">
        <w:rPr>
          <w:rFonts w:ascii="Arial" w:hAnsi="Arial" w:cs="Arial"/>
          <w:b/>
        </w:rPr>
        <w:t>Efraim</w:t>
      </w:r>
      <w:proofErr w:type="spellEnd"/>
      <w:r w:rsidRPr="00435B32">
        <w:rPr>
          <w:rFonts w:ascii="Arial" w:hAnsi="Arial" w:cs="Arial"/>
          <w:b/>
        </w:rPr>
        <w:t xml:space="preserve"> Turban et all</w:t>
      </w:r>
    </w:p>
    <w:p w:rsidR="00E5536D" w:rsidRPr="00435B32" w:rsidRDefault="00E5536D" w:rsidP="00E5536D">
      <w:pPr>
        <w:spacing w:after="0" w:line="360" w:lineRule="auto"/>
        <w:jc w:val="both"/>
        <w:rPr>
          <w:rFonts w:ascii="Arial" w:hAnsi="Arial" w:cs="Arial"/>
        </w:rPr>
      </w:pPr>
    </w:p>
    <w:tbl>
      <w:tblPr>
        <w:tblW w:w="0" w:type="auto"/>
        <w:tblLook w:val="04A0"/>
      </w:tblPr>
      <w:tblGrid>
        <w:gridCol w:w="648"/>
        <w:gridCol w:w="810"/>
        <w:gridCol w:w="6480"/>
        <w:gridCol w:w="1307"/>
      </w:tblGrid>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r w:rsidRPr="00435B32">
              <w:rPr>
                <w:rFonts w:ascii="Arial" w:hAnsi="Arial" w:cs="Arial"/>
              </w:rPr>
              <w:t>1.</w:t>
            </w:r>
          </w:p>
        </w:tc>
        <w:tc>
          <w:tcPr>
            <w:tcW w:w="7290" w:type="dxa"/>
            <w:gridSpan w:val="2"/>
          </w:tcPr>
          <w:p w:rsidR="00E5536D" w:rsidRPr="00435B32" w:rsidRDefault="00E5536D" w:rsidP="00F52424">
            <w:pPr>
              <w:spacing w:after="0" w:line="240" w:lineRule="auto"/>
              <w:jc w:val="both"/>
              <w:rPr>
                <w:rFonts w:ascii="Arial" w:hAnsi="Arial" w:cs="Arial"/>
              </w:rPr>
            </w:pPr>
            <w:r w:rsidRPr="00435B32">
              <w:rPr>
                <w:rFonts w:ascii="Arial" w:hAnsi="Arial" w:cs="Arial"/>
              </w:rPr>
              <w:t>From the case study, summarize why Godiva decide to sell online?</w:t>
            </w:r>
          </w:p>
        </w:tc>
        <w:tc>
          <w:tcPr>
            <w:tcW w:w="1307" w:type="dxa"/>
          </w:tcPr>
          <w:p w:rsidR="00E5536D" w:rsidRPr="00435B32" w:rsidRDefault="00E5536D" w:rsidP="00F52424">
            <w:pPr>
              <w:spacing w:after="0" w:line="240" w:lineRule="auto"/>
              <w:rPr>
                <w:rFonts w:ascii="Arial" w:hAnsi="Arial" w:cs="Arial"/>
              </w:rPr>
            </w:pP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81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648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1307" w:type="dxa"/>
          </w:tcPr>
          <w:p w:rsidR="00E5536D" w:rsidRPr="00435B32" w:rsidRDefault="00E5536D" w:rsidP="00F52424">
            <w:pPr>
              <w:spacing w:after="0" w:line="240" w:lineRule="auto"/>
              <w:jc w:val="right"/>
              <w:rPr>
                <w:rFonts w:ascii="Arial" w:hAnsi="Arial" w:cs="Arial"/>
              </w:rPr>
            </w:pPr>
            <w:r w:rsidRPr="00435B32">
              <w:rPr>
                <w:rFonts w:ascii="Arial" w:hAnsi="Arial" w:cs="Arial"/>
              </w:rPr>
              <w:t>(2 marks)</w:t>
            </w: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81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648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1307" w:type="dxa"/>
          </w:tcPr>
          <w:p w:rsidR="00E5536D" w:rsidRPr="00435B32" w:rsidRDefault="00E5536D" w:rsidP="00F52424">
            <w:pPr>
              <w:spacing w:after="0" w:line="240" w:lineRule="auto"/>
              <w:jc w:val="right"/>
              <w:rPr>
                <w:rFonts w:ascii="Arial" w:hAnsi="Arial" w:cs="Arial"/>
              </w:rPr>
            </w:pP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r w:rsidRPr="00435B32">
              <w:rPr>
                <w:rFonts w:ascii="Arial" w:hAnsi="Arial" w:cs="Arial"/>
              </w:rPr>
              <w:t>2.</w:t>
            </w:r>
          </w:p>
        </w:tc>
        <w:tc>
          <w:tcPr>
            <w:tcW w:w="7290" w:type="dxa"/>
            <w:gridSpan w:val="2"/>
          </w:tcPr>
          <w:p w:rsidR="00E5536D" w:rsidRPr="00435B32" w:rsidRDefault="00E5536D" w:rsidP="00F52424">
            <w:pPr>
              <w:autoSpaceDE w:val="0"/>
              <w:autoSpaceDN w:val="0"/>
              <w:adjustRightInd w:val="0"/>
              <w:spacing w:after="0" w:line="240" w:lineRule="auto"/>
              <w:jc w:val="both"/>
              <w:rPr>
                <w:rFonts w:ascii="Arial" w:hAnsi="Arial" w:cs="Arial"/>
              </w:rPr>
            </w:pPr>
            <w:r w:rsidRPr="00435B32">
              <w:rPr>
                <w:rFonts w:ascii="Arial" w:hAnsi="Arial" w:cs="Arial"/>
              </w:rPr>
              <w:t xml:space="preserve">The framework of E-Commerce describes overall content of an E-Commerce including its support services and infrastructure. List the any </w:t>
            </w:r>
            <w:proofErr w:type="gramStart"/>
            <w:r w:rsidRPr="00435B32">
              <w:rPr>
                <w:rFonts w:ascii="Arial" w:hAnsi="Arial" w:cs="Arial"/>
                <w:b/>
              </w:rPr>
              <w:t>THREE(</w:t>
            </w:r>
            <w:proofErr w:type="gramEnd"/>
            <w:r w:rsidRPr="00435B32">
              <w:rPr>
                <w:rFonts w:ascii="Arial" w:hAnsi="Arial" w:cs="Arial"/>
                <w:b/>
              </w:rPr>
              <w:t>3)</w:t>
            </w:r>
            <w:r w:rsidRPr="00435B32">
              <w:rPr>
                <w:rFonts w:ascii="Arial" w:hAnsi="Arial" w:cs="Arial"/>
              </w:rPr>
              <w:t xml:space="preserve"> support services of EC with at least </w:t>
            </w:r>
            <w:r w:rsidRPr="00435B32">
              <w:rPr>
                <w:rFonts w:ascii="Arial" w:hAnsi="Arial" w:cs="Arial"/>
                <w:b/>
              </w:rPr>
              <w:t>ONE(1)</w:t>
            </w:r>
            <w:r w:rsidRPr="00435B32">
              <w:rPr>
                <w:rFonts w:ascii="Arial" w:hAnsi="Arial" w:cs="Arial"/>
              </w:rPr>
              <w:t xml:space="preserve"> examples of it found in the case study.</w:t>
            </w:r>
          </w:p>
        </w:tc>
        <w:tc>
          <w:tcPr>
            <w:tcW w:w="1307" w:type="dxa"/>
          </w:tcPr>
          <w:p w:rsidR="00E5536D" w:rsidRPr="00435B32" w:rsidRDefault="00E5536D" w:rsidP="00F52424">
            <w:pPr>
              <w:spacing w:after="0" w:line="240" w:lineRule="auto"/>
              <w:jc w:val="right"/>
              <w:rPr>
                <w:rFonts w:ascii="Arial" w:hAnsi="Arial" w:cs="Arial"/>
              </w:rPr>
            </w:pP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81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648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1307" w:type="dxa"/>
          </w:tcPr>
          <w:p w:rsidR="00E5536D" w:rsidRPr="00435B32" w:rsidRDefault="00E5536D" w:rsidP="00F52424">
            <w:pPr>
              <w:pStyle w:val="ListParagraph"/>
              <w:spacing w:after="0" w:line="240" w:lineRule="auto"/>
              <w:ind w:left="0"/>
              <w:jc w:val="right"/>
              <w:rPr>
                <w:rFonts w:ascii="Arial" w:hAnsi="Arial" w:cs="Arial"/>
                <w:lang w:val="en-US"/>
              </w:rPr>
            </w:pPr>
            <w:r w:rsidRPr="00435B32">
              <w:rPr>
                <w:rFonts w:ascii="Arial" w:hAnsi="Arial" w:cs="Arial"/>
                <w:lang w:val="en-US"/>
              </w:rPr>
              <w:t>(6 marks)</w:t>
            </w: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81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648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1307" w:type="dxa"/>
          </w:tcPr>
          <w:p w:rsidR="00E5536D" w:rsidRPr="00435B32" w:rsidRDefault="00E5536D" w:rsidP="00F52424">
            <w:pPr>
              <w:pStyle w:val="ListParagraph"/>
              <w:spacing w:after="0" w:line="240" w:lineRule="auto"/>
              <w:ind w:left="0"/>
              <w:jc w:val="right"/>
              <w:rPr>
                <w:rFonts w:ascii="Arial" w:hAnsi="Arial" w:cs="Arial"/>
              </w:rPr>
            </w:pP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r w:rsidRPr="00435B32">
              <w:rPr>
                <w:rFonts w:ascii="Arial" w:hAnsi="Arial" w:cs="Arial"/>
              </w:rPr>
              <w:t>3.</w:t>
            </w:r>
          </w:p>
        </w:tc>
        <w:tc>
          <w:tcPr>
            <w:tcW w:w="7290" w:type="dxa"/>
            <w:gridSpan w:val="2"/>
          </w:tcPr>
          <w:p w:rsidR="00E5536D" w:rsidRPr="00435B32" w:rsidRDefault="00E5536D" w:rsidP="00F52424">
            <w:pPr>
              <w:spacing w:after="0" w:line="240" w:lineRule="auto"/>
              <w:jc w:val="both"/>
              <w:rPr>
                <w:rFonts w:ascii="Arial" w:hAnsi="Arial" w:cs="Arial"/>
              </w:rPr>
            </w:pPr>
            <w:r w:rsidRPr="00435B32">
              <w:rPr>
                <w:rFonts w:ascii="Arial" w:hAnsi="Arial" w:cs="Arial"/>
              </w:rPr>
              <w:t>List the E-Commerce drivers in this case.</w:t>
            </w:r>
          </w:p>
        </w:tc>
        <w:tc>
          <w:tcPr>
            <w:tcW w:w="1307" w:type="dxa"/>
          </w:tcPr>
          <w:p w:rsidR="00E5536D" w:rsidRPr="00435B32" w:rsidRDefault="00E5536D" w:rsidP="00F52424">
            <w:pPr>
              <w:spacing w:after="0" w:line="240" w:lineRule="auto"/>
              <w:rPr>
                <w:rFonts w:ascii="Arial" w:hAnsi="Arial" w:cs="Arial"/>
              </w:rPr>
            </w:pP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81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648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1307" w:type="dxa"/>
          </w:tcPr>
          <w:p w:rsidR="00E5536D" w:rsidRPr="00435B32" w:rsidRDefault="00E5536D" w:rsidP="00F52424">
            <w:pPr>
              <w:spacing w:after="0" w:line="240" w:lineRule="auto"/>
              <w:jc w:val="right"/>
              <w:rPr>
                <w:rFonts w:ascii="Arial" w:hAnsi="Arial" w:cs="Arial"/>
              </w:rPr>
            </w:pPr>
            <w:r w:rsidRPr="00435B32">
              <w:rPr>
                <w:rFonts w:ascii="Arial" w:hAnsi="Arial" w:cs="Arial"/>
              </w:rPr>
              <w:t>(2 marks)</w:t>
            </w: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81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648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1307" w:type="dxa"/>
          </w:tcPr>
          <w:p w:rsidR="00E5536D" w:rsidRPr="00435B32" w:rsidRDefault="00E5536D" w:rsidP="00F52424">
            <w:pPr>
              <w:spacing w:after="0" w:line="240" w:lineRule="auto"/>
              <w:jc w:val="right"/>
              <w:rPr>
                <w:rFonts w:ascii="Arial" w:hAnsi="Arial" w:cs="Arial"/>
              </w:rPr>
            </w:pP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r w:rsidRPr="00435B32">
              <w:rPr>
                <w:rFonts w:ascii="Arial" w:hAnsi="Arial" w:cs="Arial"/>
              </w:rPr>
              <w:t>4.</w:t>
            </w:r>
          </w:p>
        </w:tc>
        <w:tc>
          <w:tcPr>
            <w:tcW w:w="7290" w:type="dxa"/>
            <w:gridSpan w:val="2"/>
          </w:tcPr>
          <w:p w:rsidR="00E5536D" w:rsidRPr="00435B32" w:rsidRDefault="00E5536D" w:rsidP="00F52424">
            <w:pPr>
              <w:autoSpaceDE w:val="0"/>
              <w:autoSpaceDN w:val="0"/>
              <w:adjustRightInd w:val="0"/>
              <w:spacing w:after="0" w:line="240" w:lineRule="auto"/>
              <w:contextualSpacing/>
              <w:jc w:val="both"/>
              <w:rPr>
                <w:rFonts w:ascii="Arial" w:hAnsi="Arial" w:cs="Arial"/>
              </w:rPr>
            </w:pPr>
            <w:r w:rsidRPr="00435B32">
              <w:rPr>
                <w:rFonts w:ascii="Arial" w:hAnsi="Arial" w:cs="Arial"/>
              </w:rPr>
              <w:t>Godiva.com also features “My Account”, a personalized place for customers. How the sites keep track of the specific browsing and buying behavior of each consumer?</w:t>
            </w:r>
          </w:p>
        </w:tc>
        <w:tc>
          <w:tcPr>
            <w:tcW w:w="1307" w:type="dxa"/>
          </w:tcPr>
          <w:p w:rsidR="00E5536D" w:rsidRPr="00435B32" w:rsidRDefault="00E5536D" w:rsidP="00F52424">
            <w:pPr>
              <w:spacing w:after="0" w:line="240" w:lineRule="auto"/>
              <w:jc w:val="right"/>
              <w:rPr>
                <w:rFonts w:ascii="Arial" w:hAnsi="Arial" w:cs="Arial"/>
              </w:rPr>
            </w:pP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81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648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1307" w:type="dxa"/>
          </w:tcPr>
          <w:p w:rsidR="00E5536D" w:rsidRPr="00435B32" w:rsidRDefault="00E5536D" w:rsidP="00F52424">
            <w:pPr>
              <w:spacing w:after="0" w:line="240" w:lineRule="auto"/>
              <w:jc w:val="right"/>
              <w:rPr>
                <w:rFonts w:ascii="Arial" w:hAnsi="Arial" w:cs="Arial"/>
              </w:rPr>
            </w:pPr>
            <w:r w:rsidRPr="00435B32">
              <w:rPr>
                <w:rFonts w:ascii="Arial" w:hAnsi="Arial" w:cs="Arial"/>
              </w:rPr>
              <w:t>(1 mark)</w:t>
            </w: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81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648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1307" w:type="dxa"/>
          </w:tcPr>
          <w:p w:rsidR="00E5536D" w:rsidRPr="00435B32" w:rsidRDefault="00E5536D" w:rsidP="00F52424">
            <w:pPr>
              <w:spacing w:after="0" w:line="240" w:lineRule="auto"/>
              <w:jc w:val="right"/>
              <w:rPr>
                <w:rFonts w:ascii="Arial" w:hAnsi="Arial" w:cs="Arial"/>
              </w:rPr>
            </w:pP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r w:rsidRPr="00435B32">
              <w:rPr>
                <w:rFonts w:ascii="Arial" w:hAnsi="Arial" w:cs="Arial"/>
              </w:rPr>
              <w:t>5.</w:t>
            </w:r>
          </w:p>
        </w:tc>
        <w:tc>
          <w:tcPr>
            <w:tcW w:w="7290" w:type="dxa"/>
            <w:gridSpan w:val="2"/>
          </w:tcPr>
          <w:p w:rsidR="00E5536D" w:rsidRPr="00435B32" w:rsidRDefault="00E5536D" w:rsidP="00F52424">
            <w:pPr>
              <w:autoSpaceDE w:val="0"/>
              <w:autoSpaceDN w:val="0"/>
              <w:adjustRightInd w:val="0"/>
              <w:spacing w:after="0" w:line="240" w:lineRule="auto"/>
              <w:contextualSpacing/>
              <w:rPr>
                <w:rFonts w:ascii="Arial" w:hAnsi="Arial" w:cs="Arial"/>
              </w:rPr>
            </w:pPr>
            <w:r w:rsidRPr="00435B32">
              <w:rPr>
                <w:rFonts w:ascii="Arial" w:hAnsi="Arial" w:cs="Arial"/>
              </w:rPr>
              <w:t>Identify the M-Commerce model in this case.</w:t>
            </w:r>
          </w:p>
        </w:tc>
        <w:tc>
          <w:tcPr>
            <w:tcW w:w="1307" w:type="dxa"/>
          </w:tcPr>
          <w:p w:rsidR="00E5536D" w:rsidRPr="00435B32" w:rsidRDefault="00E5536D" w:rsidP="00F52424">
            <w:pPr>
              <w:spacing w:after="0" w:line="240" w:lineRule="auto"/>
              <w:jc w:val="right"/>
              <w:rPr>
                <w:rFonts w:ascii="Arial" w:hAnsi="Arial" w:cs="Arial"/>
              </w:rPr>
            </w:pP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81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648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1307" w:type="dxa"/>
          </w:tcPr>
          <w:p w:rsidR="00E5536D" w:rsidRPr="00435B32" w:rsidRDefault="00E5536D" w:rsidP="00F52424">
            <w:pPr>
              <w:spacing w:after="0" w:line="240" w:lineRule="auto"/>
              <w:jc w:val="right"/>
              <w:rPr>
                <w:rFonts w:ascii="Arial" w:hAnsi="Arial" w:cs="Arial"/>
              </w:rPr>
            </w:pPr>
            <w:r w:rsidRPr="00435B32">
              <w:rPr>
                <w:rFonts w:ascii="Arial" w:hAnsi="Arial" w:cs="Arial"/>
              </w:rPr>
              <w:t>(1 mark)</w:t>
            </w: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81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648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1307" w:type="dxa"/>
          </w:tcPr>
          <w:p w:rsidR="00E5536D" w:rsidRPr="00435B32" w:rsidRDefault="00E5536D" w:rsidP="00F52424">
            <w:pPr>
              <w:spacing w:after="0" w:line="240" w:lineRule="auto"/>
              <w:jc w:val="right"/>
              <w:rPr>
                <w:rFonts w:ascii="Arial" w:hAnsi="Arial" w:cs="Arial"/>
              </w:rPr>
            </w:pP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r w:rsidRPr="00435B32">
              <w:rPr>
                <w:rFonts w:ascii="Arial" w:hAnsi="Arial" w:cs="Arial"/>
              </w:rPr>
              <w:t>6.</w:t>
            </w:r>
          </w:p>
        </w:tc>
        <w:tc>
          <w:tcPr>
            <w:tcW w:w="7290" w:type="dxa"/>
            <w:gridSpan w:val="2"/>
          </w:tcPr>
          <w:p w:rsidR="00E5536D" w:rsidRPr="00435B32" w:rsidRDefault="00E5536D" w:rsidP="00F52424">
            <w:pPr>
              <w:spacing w:after="0" w:line="240" w:lineRule="auto"/>
              <w:jc w:val="both"/>
              <w:rPr>
                <w:rFonts w:ascii="Arial" w:hAnsi="Arial" w:cs="Arial"/>
              </w:rPr>
            </w:pPr>
            <w:r w:rsidRPr="00435B32">
              <w:rPr>
                <w:rFonts w:ascii="Arial" w:hAnsi="Arial" w:cs="Arial"/>
              </w:rPr>
              <w:t>Describe B2B2C E-Commerce model at Godiva.</w:t>
            </w:r>
          </w:p>
        </w:tc>
        <w:tc>
          <w:tcPr>
            <w:tcW w:w="1307" w:type="dxa"/>
          </w:tcPr>
          <w:p w:rsidR="00E5536D" w:rsidRPr="00435B32" w:rsidRDefault="00E5536D" w:rsidP="00F52424">
            <w:pPr>
              <w:spacing w:after="0" w:line="240" w:lineRule="auto"/>
              <w:jc w:val="right"/>
              <w:rPr>
                <w:rFonts w:ascii="Arial" w:hAnsi="Arial" w:cs="Arial"/>
              </w:rPr>
            </w:pP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81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648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1307" w:type="dxa"/>
          </w:tcPr>
          <w:p w:rsidR="00E5536D" w:rsidRPr="00435B32" w:rsidRDefault="00E5536D" w:rsidP="00F52424">
            <w:pPr>
              <w:spacing w:after="0" w:line="240" w:lineRule="auto"/>
              <w:jc w:val="right"/>
              <w:rPr>
                <w:rFonts w:ascii="Arial" w:hAnsi="Arial" w:cs="Arial"/>
              </w:rPr>
            </w:pPr>
            <w:r w:rsidRPr="00435B32">
              <w:rPr>
                <w:rFonts w:ascii="Arial" w:hAnsi="Arial" w:cs="Arial"/>
              </w:rPr>
              <w:t>(3 marks)</w:t>
            </w: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81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648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1307" w:type="dxa"/>
          </w:tcPr>
          <w:p w:rsidR="00E5536D" w:rsidRPr="00435B32" w:rsidRDefault="00E5536D" w:rsidP="00F52424">
            <w:pPr>
              <w:spacing w:after="0" w:line="240" w:lineRule="auto"/>
              <w:jc w:val="right"/>
              <w:rPr>
                <w:rFonts w:ascii="Arial" w:hAnsi="Arial" w:cs="Arial"/>
              </w:rPr>
            </w:pP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r w:rsidRPr="00435B32">
              <w:rPr>
                <w:rFonts w:ascii="Arial" w:hAnsi="Arial" w:cs="Arial"/>
              </w:rPr>
              <w:t>7.</w:t>
            </w:r>
          </w:p>
        </w:tc>
        <w:tc>
          <w:tcPr>
            <w:tcW w:w="7290" w:type="dxa"/>
            <w:gridSpan w:val="2"/>
          </w:tcPr>
          <w:p w:rsidR="00E5536D" w:rsidRPr="00435B32" w:rsidRDefault="00E5536D" w:rsidP="00F52424">
            <w:pPr>
              <w:spacing w:after="0" w:line="240" w:lineRule="auto"/>
              <w:jc w:val="both"/>
              <w:rPr>
                <w:rFonts w:ascii="Arial" w:hAnsi="Arial" w:cs="Arial"/>
                <w:i/>
              </w:rPr>
            </w:pPr>
            <w:r w:rsidRPr="00435B32">
              <w:rPr>
                <w:rFonts w:ascii="Arial" w:hAnsi="Arial" w:cs="Arial"/>
                <w:i/>
              </w:rPr>
              <w:t>“The company was a pioneering click-and-mortar e-business that exploited an opportunity years before its competitors.”</w:t>
            </w:r>
          </w:p>
          <w:p w:rsidR="00E5536D" w:rsidRPr="00435B32" w:rsidRDefault="00E5536D" w:rsidP="00F52424">
            <w:pPr>
              <w:spacing w:after="0" w:line="240" w:lineRule="auto"/>
              <w:jc w:val="both"/>
              <w:rPr>
                <w:rFonts w:ascii="Arial" w:hAnsi="Arial" w:cs="Arial"/>
              </w:rPr>
            </w:pPr>
            <w:r w:rsidRPr="00435B32">
              <w:rPr>
                <w:rFonts w:ascii="Arial" w:hAnsi="Arial" w:cs="Arial"/>
              </w:rPr>
              <w:t xml:space="preserve">From that statement, describe what is click-and-mortar organizations and list and briefly explain another </w:t>
            </w:r>
            <w:proofErr w:type="gramStart"/>
            <w:r w:rsidRPr="00435B32">
              <w:rPr>
                <w:rFonts w:ascii="Arial" w:hAnsi="Arial" w:cs="Arial"/>
                <w:b/>
              </w:rPr>
              <w:t>TWO(</w:t>
            </w:r>
            <w:proofErr w:type="gramEnd"/>
            <w:r w:rsidRPr="00435B32">
              <w:rPr>
                <w:rFonts w:ascii="Arial" w:hAnsi="Arial" w:cs="Arial"/>
                <w:b/>
              </w:rPr>
              <w:t>2)</w:t>
            </w:r>
            <w:r w:rsidRPr="00435B32">
              <w:rPr>
                <w:rFonts w:ascii="Arial" w:hAnsi="Arial" w:cs="Arial"/>
              </w:rPr>
              <w:t xml:space="preserve"> type of E-Commerce organization.</w:t>
            </w:r>
          </w:p>
        </w:tc>
        <w:tc>
          <w:tcPr>
            <w:tcW w:w="1307" w:type="dxa"/>
          </w:tcPr>
          <w:p w:rsidR="00E5536D" w:rsidRPr="00435B32" w:rsidRDefault="00E5536D" w:rsidP="00F52424">
            <w:pPr>
              <w:spacing w:after="0" w:line="240" w:lineRule="auto"/>
              <w:jc w:val="right"/>
              <w:rPr>
                <w:rFonts w:ascii="Arial" w:hAnsi="Arial" w:cs="Arial"/>
              </w:rPr>
            </w:pP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81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648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1307" w:type="dxa"/>
          </w:tcPr>
          <w:p w:rsidR="00E5536D" w:rsidRPr="00435B32" w:rsidRDefault="00E5536D" w:rsidP="00F52424">
            <w:pPr>
              <w:spacing w:after="0" w:line="240" w:lineRule="auto"/>
              <w:jc w:val="right"/>
              <w:rPr>
                <w:rFonts w:ascii="Arial" w:hAnsi="Arial" w:cs="Arial"/>
              </w:rPr>
            </w:pPr>
            <w:r w:rsidRPr="00435B32">
              <w:rPr>
                <w:rFonts w:ascii="Arial" w:hAnsi="Arial" w:cs="Arial"/>
              </w:rPr>
              <w:t>(5 marks)</w:t>
            </w: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81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648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1307" w:type="dxa"/>
          </w:tcPr>
          <w:p w:rsidR="00E5536D" w:rsidRPr="00435B32" w:rsidRDefault="00E5536D" w:rsidP="00F52424">
            <w:pPr>
              <w:spacing w:after="0" w:line="240" w:lineRule="auto"/>
              <w:jc w:val="right"/>
              <w:rPr>
                <w:rFonts w:ascii="Arial" w:hAnsi="Arial" w:cs="Arial"/>
              </w:rPr>
            </w:pPr>
          </w:p>
        </w:tc>
      </w:tr>
      <w:tr w:rsidR="00E5536D" w:rsidRPr="00435B32" w:rsidTr="00F52424">
        <w:tc>
          <w:tcPr>
            <w:tcW w:w="648"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81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6480" w:type="dxa"/>
          </w:tcPr>
          <w:p w:rsidR="00E5536D" w:rsidRPr="00435B32" w:rsidRDefault="00E5536D" w:rsidP="00F52424">
            <w:pPr>
              <w:autoSpaceDE w:val="0"/>
              <w:autoSpaceDN w:val="0"/>
              <w:adjustRightInd w:val="0"/>
              <w:spacing w:after="0" w:line="240" w:lineRule="auto"/>
              <w:contextualSpacing/>
              <w:rPr>
                <w:rFonts w:ascii="Arial" w:hAnsi="Arial" w:cs="Arial"/>
              </w:rPr>
            </w:pPr>
          </w:p>
        </w:tc>
        <w:tc>
          <w:tcPr>
            <w:tcW w:w="1307" w:type="dxa"/>
          </w:tcPr>
          <w:p w:rsidR="00E5536D" w:rsidRPr="00435B32" w:rsidRDefault="00E5536D" w:rsidP="00F52424">
            <w:pPr>
              <w:spacing w:after="0" w:line="240" w:lineRule="auto"/>
              <w:jc w:val="right"/>
              <w:rPr>
                <w:rFonts w:ascii="Arial" w:hAnsi="Arial" w:cs="Arial"/>
              </w:rPr>
            </w:pPr>
          </w:p>
        </w:tc>
      </w:tr>
      <w:tr w:rsidR="00E5536D" w:rsidRPr="00435B32" w:rsidTr="00F52424">
        <w:tc>
          <w:tcPr>
            <w:tcW w:w="9245" w:type="dxa"/>
            <w:gridSpan w:val="4"/>
          </w:tcPr>
          <w:p w:rsidR="00E5536D" w:rsidRPr="00435B32" w:rsidRDefault="00E5536D" w:rsidP="00F52424">
            <w:pPr>
              <w:spacing w:after="0" w:line="240" w:lineRule="auto"/>
              <w:jc w:val="right"/>
              <w:rPr>
                <w:rFonts w:ascii="Arial" w:hAnsi="Arial" w:cs="Arial"/>
              </w:rPr>
            </w:pPr>
            <w:r w:rsidRPr="00435B32">
              <w:rPr>
                <w:rFonts w:ascii="Arial" w:hAnsi="Arial" w:cs="Arial"/>
                <w:b/>
              </w:rPr>
              <w:t>(TOTAL: 20 MARKS)</w:t>
            </w:r>
          </w:p>
        </w:tc>
      </w:tr>
    </w:tbl>
    <w:p w:rsidR="00E5536D" w:rsidRPr="00435B32" w:rsidRDefault="00E5536D" w:rsidP="00E5536D">
      <w:pPr>
        <w:spacing w:after="0" w:line="360" w:lineRule="auto"/>
        <w:jc w:val="both"/>
        <w:rPr>
          <w:rFonts w:ascii="Arial" w:hAnsi="Arial" w:cs="Arial"/>
        </w:rPr>
      </w:pPr>
    </w:p>
    <w:p w:rsidR="00E5536D" w:rsidRPr="00435B32" w:rsidRDefault="00E5536D" w:rsidP="00E5536D">
      <w:pPr>
        <w:spacing w:after="0" w:line="240" w:lineRule="auto"/>
        <w:ind w:left="360"/>
        <w:jc w:val="right"/>
        <w:rPr>
          <w:rFonts w:ascii="Arial" w:hAnsi="Arial" w:cs="Arial"/>
        </w:rPr>
      </w:pPr>
    </w:p>
    <w:p w:rsidR="00E5536D" w:rsidRPr="00435B32" w:rsidRDefault="00E5536D" w:rsidP="00E5536D">
      <w:pPr>
        <w:pStyle w:val="ListParagraph"/>
        <w:spacing w:after="0" w:line="240" w:lineRule="auto"/>
        <w:ind w:left="0"/>
        <w:jc w:val="right"/>
        <w:rPr>
          <w:rFonts w:ascii="Arial" w:hAnsi="Arial" w:cs="Arial"/>
          <w:lang w:val="en-US"/>
        </w:rPr>
      </w:pPr>
    </w:p>
    <w:p w:rsidR="00E5536D" w:rsidRPr="00435B32" w:rsidRDefault="00E5536D" w:rsidP="00E5536D">
      <w:pPr>
        <w:spacing w:after="0" w:line="240" w:lineRule="auto"/>
        <w:ind w:left="360"/>
        <w:jc w:val="right"/>
        <w:rPr>
          <w:rFonts w:ascii="Arial" w:hAnsi="Arial" w:cs="Arial"/>
        </w:rPr>
      </w:pPr>
    </w:p>
    <w:p w:rsidR="00E5536D" w:rsidRPr="00435B32" w:rsidRDefault="00E5536D" w:rsidP="00E5536D">
      <w:pPr>
        <w:spacing w:after="0" w:line="240" w:lineRule="auto"/>
        <w:ind w:left="360"/>
        <w:jc w:val="right"/>
        <w:rPr>
          <w:rFonts w:ascii="Arial" w:hAnsi="Arial" w:cs="Arial"/>
        </w:rPr>
      </w:pPr>
    </w:p>
    <w:p w:rsidR="00E5536D" w:rsidRPr="00435B32" w:rsidRDefault="00E5536D" w:rsidP="00E5536D">
      <w:pPr>
        <w:spacing w:after="0" w:line="240" w:lineRule="auto"/>
        <w:ind w:left="360"/>
        <w:jc w:val="right"/>
        <w:rPr>
          <w:rFonts w:ascii="Arial" w:hAnsi="Arial" w:cs="Arial"/>
        </w:rPr>
      </w:pPr>
    </w:p>
    <w:p w:rsidR="00E5536D" w:rsidRPr="00435B32" w:rsidRDefault="00E5536D" w:rsidP="00E5536D">
      <w:pPr>
        <w:spacing w:after="0" w:line="240" w:lineRule="auto"/>
        <w:ind w:left="360"/>
        <w:jc w:val="right"/>
        <w:rPr>
          <w:rFonts w:ascii="Arial" w:hAnsi="Arial" w:cs="Arial"/>
        </w:rPr>
      </w:pPr>
      <w:r w:rsidRPr="00435B32">
        <w:rPr>
          <w:rFonts w:ascii="Arial" w:hAnsi="Arial" w:cs="Arial"/>
        </w:rPr>
        <w:t xml:space="preserve"> </w:t>
      </w:r>
    </w:p>
    <w:p w:rsidR="00E5536D" w:rsidRPr="00435B32" w:rsidRDefault="00E5536D" w:rsidP="00E5536D">
      <w:pPr>
        <w:spacing w:after="0" w:line="240" w:lineRule="auto"/>
        <w:ind w:left="360"/>
        <w:jc w:val="right"/>
        <w:rPr>
          <w:rFonts w:ascii="Arial" w:hAnsi="Arial" w:cs="Arial"/>
        </w:rPr>
      </w:pPr>
    </w:p>
    <w:p w:rsidR="00E5536D" w:rsidRPr="00435B32" w:rsidRDefault="00E5536D" w:rsidP="00E5536D">
      <w:pPr>
        <w:spacing w:after="0" w:line="240" w:lineRule="auto"/>
        <w:ind w:left="360" w:firstLine="60"/>
        <w:jc w:val="right"/>
        <w:rPr>
          <w:rFonts w:ascii="Arial" w:hAnsi="Arial" w:cs="Arial"/>
        </w:rPr>
      </w:pPr>
      <w:r w:rsidRPr="00435B32">
        <w:rPr>
          <w:rFonts w:ascii="Arial" w:hAnsi="Arial" w:cs="Arial"/>
        </w:rPr>
        <w:t xml:space="preserve"> </w:t>
      </w:r>
    </w:p>
    <w:p w:rsidR="00E5536D" w:rsidRPr="00435B32" w:rsidRDefault="00E5536D" w:rsidP="00E5536D">
      <w:pPr>
        <w:spacing w:after="0" w:line="240" w:lineRule="auto"/>
        <w:jc w:val="right"/>
        <w:rPr>
          <w:rFonts w:ascii="Arial" w:hAnsi="Arial" w:cs="Arial"/>
          <w:b/>
        </w:rPr>
      </w:pPr>
    </w:p>
    <w:p w:rsidR="00E5536D" w:rsidRPr="00435B32" w:rsidRDefault="00E5536D" w:rsidP="00E5536D">
      <w:pPr>
        <w:spacing w:after="0" w:line="360" w:lineRule="auto"/>
        <w:jc w:val="both"/>
        <w:rPr>
          <w:rFonts w:ascii="Arial" w:hAnsi="Arial" w:cs="Arial"/>
        </w:rPr>
      </w:pPr>
    </w:p>
    <w:p w:rsidR="00E5536D" w:rsidRPr="00435B32" w:rsidRDefault="00E5536D" w:rsidP="00E5536D">
      <w:pPr>
        <w:spacing w:after="0" w:line="360" w:lineRule="auto"/>
        <w:jc w:val="center"/>
        <w:rPr>
          <w:rFonts w:ascii="Arial" w:hAnsi="Arial" w:cs="Arial"/>
          <w:b/>
        </w:rPr>
      </w:pPr>
    </w:p>
    <w:p w:rsidR="00E5536D" w:rsidRPr="00435B32" w:rsidRDefault="00E5536D" w:rsidP="00E5536D">
      <w:pPr>
        <w:spacing w:after="0" w:line="360" w:lineRule="auto"/>
        <w:jc w:val="center"/>
        <w:rPr>
          <w:rFonts w:ascii="Arial" w:hAnsi="Arial" w:cs="Arial"/>
          <w:b/>
        </w:rPr>
      </w:pPr>
    </w:p>
    <w:p w:rsidR="0061771C" w:rsidRDefault="0061771C"/>
    <w:sectPr w:rsidR="0061771C" w:rsidSect="006177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536D"/>
    <w:rsid w:val="00011D0C"/>
    <w:rsid w:val="0001365B"/>
    <w:rsid w:val="00020C9D"/>
    <w:rsid w:val="00027E76"/>
    <w:rsid w:val="00030FB8"/>
    <w:rsid w:val="000322A7"/>
    <w:rsid w:val="00035A20"/>
    <w:rsid w:val="00043EE3"/>
    <w:rsid w:val="00045E23"/>
    <w:rsid w:val="00047BE6"/>
    <w:rsid w:val="00052A56"/>
    <w:rsid w:val="000537C7"/>
    <w:rsid w:val="0005562F"/>
    <w:rsid w:val="00066974"/>
    <w:rsid w:val="00071CD8"/>
    <w:rsid w:val="0007272F"/>
    <w:rsid w:val="00073276"/>
    <w:rsid w:val="00087066"/>
    <w:rsid w:val="00090190"/>
    <w:rsid w:val="000925D0"/>
    <w:rsid w:val="000A3D7E"/>
    <w:rsid w:val="000B0CA3"/>
    <w:rsid w:val="000B133D"/>
    <w:rsid w:val="000B1804"/>
    <w:rsid w:val="000B1DCE"/>
    <w:rsid w:val="000B2BBD"/>
    <w:rsid w:val="000B3A8F"/>
    <w:rsid w:val="000B4FB4"/>
    <w:rsid w:val="000C3DC4"/>
    <w:rsid w:val="000C54C2"/>
    <w:rsid w:val="000C758F"/>
    <w:rsid w:val="000D5D6E"/>
    <w:rsid w:val="000E4A9F"/>
    <w:rsid w:val="000E4BB5"/>
    <w:rsid w:val="000E765A"/>
    <w:rsid w:val="000E7F42"/>
    <w:rsid w:val="000F2EF2"/>
    <w:rsid w:val="000F41C7"/>
    <w:rsid w:val="00100849"/>
    <w:rsid w:val="00100CED"/>
    <w:rsid w:val="0010105B"/>
    <w:rsid w:val="001034FE"/>
    <w:rsid w:val="00103F2A"/>
    <w:rsid w:val="001110D9"/>
    <w:rsid w:val="00114E3D"/>
    <w:rsid w:val="001154F0"/>
    <w:rsid w:val="00115C0A"/>
    <w:rsid w:val="0011608D"/>
    <w:rsid w:val="00130777"/>
    <w:rsid w:val="00152167"/>
    <w:rsid w:val="0015261D"/>
    <w:rsid w:val="00153871"/>
    <w:rsid w:val="00156A3E"/>
    <w:rsid w:val="00162566"/>
    <w:rsid w:val="001641EC"/>
    <w:rsid w:val="00165E14"/>
    <w:rsid w:val="001668BA"/>
    <w:rsid w:val="00167CDF"/>
    <w:rsid w:val="00171F4F"/>
    <w:rsid w:val="001742A8"/>
    <w:rsid w:val="00181D84"/>
    <w:rsid w:val="00182460"/>
    <w:rsid w:val="001847B5"/>
    <w:rsid w:val="0018746A"/>
    <w:rsid w:val="00187563"/>
    <w:rsid w:val="00191DC6"/>
    <w:rsid w:val="0019382A"/>
    <w:rsid w:val="00193CB1"/>
    <w:rsid w:val="00193F07"/>
    <w:rsid w:val="00197066"/>
    <w:rsid w:val="001A0E74"/>
    <w:rsid w:val="001A436F"/>
    <w:rsid w:val="001A4A79"/>
    <w:rsid w:val="001A6081"/>
    <w:rsid w:val="001B056C"/>
    <w:rsid w:val="001B1B0E"/>
    <w:rsid w:val="001B2807"/>
    <w:rsid w:val="001B3613"/>
    <w:rsid w:val="001B7EAA"/>
    <w:rsid w:val="001C2FE6"/>
    <w:rsid w:val="001D01CC"/>
    <w:rsid w:val="001D3B61"/>
    <w:rsid w:val="001D41CD"/>
    <w:rsid w:val="001E46B6"/>
    <w:rsid w:val="001E5928"/>
    <w:rsid w:val="001F47FA"/>
    <w:rsid w:val="002048C8"/>
    <w:rsid w:val="0021507F"/>
    <w:rsid w:val="00216462"/>
    <w:rsid w:val="00216C56"/>
    <w:rsid w:val="002222E5"/>
    <w:rsid w:val="00222497"/>
    <w:rsid w:val="00226788"/>
    <w:rsid w:val="00226B48"/>
    <w:rsid w:val="00230455"/>
    <w:rsid w:val="002341F8"/>
    <w:rsid w:val="00236B2A"/>
    <w:rsid w:val="00242EF3"/>
    <w:rsid w:val="00244951"/>
    <w:rsid w:val="00250271"/>
    <w:rsid w:val="002564DF"/>
    <w:rsid w:val="0026129B"/>
    <w:rsid w:val="00262145"/>
    <w:rsid w:val="00266EBD"/>
    <w:rsid w:val="00271F20"/>
    <w:rsid w:val="00274EEA"/>
    <w:rsid w:val="00275303"/>
    <w:rsid w:val="002830B5"/>
    <w:rsid w:val="002834E4"/>
    <w:rsid w:val="00283D4E"/>
    <w:rsid w:val="00285C57"/>
    <w:rsid w:val="00291C72"/>
    <w:rsid w:val="002924BA"/>
    <w:rsid w:val="00293950"/>
    <w:rsid w:val="00293CA4"/>
    <w:rsid w:val="00294063"/>
    <w:rsid w:val="00294F6A"/>
    <w:rsid w:val="00297D81"/>
    <w:rsid w:val="002B3F98"/>
    <w:rsid w:val="002B7BCA"/>
    <w:rsid w:val="002C337D"/>
    <w:rsid w:val="002C661E"/>
    <w:rsid w:val="002C7073"/>
    <w:rsid w:val="002D3941"/>
    <w:rsid w:val="002E0E85"/>
    <w:rsid w:val="002E1E3A"/>
    <w:rsid w:val="002E7862"/>
    <w:rsid w:val="002F7482"/>
    <w:rsid w:val="00300DFD"/>
    <w:rsid w:val="00304D1A"/>
    <w:rsid w:val="003071B1"/>
    <w:rsid w:val="00307607"/>
    <w:rsid w:val="00312C8B"/>
    <w:rsid w:val="00326554"/>
    <w:rsid w:val="003341ED"/>
    <w:rsid w:val="00336344"/>
    <w:rsid w:val="003379AC"/>
    <w:rsid w:val="003426E8"/>
    <w:rsid w:val="00345D6E"/>
    <w:rsid w:val="003473FF"/>
    <w:rsid w:val="003510B4"/>
    <w:rsid w:val="003524AE"/>
    <w:rsid w:val="003532DA"/>
    <w:rsid w:val="00355CDC"/>
    <w:rsid w:val="00357BBF"/>
    <w:rsid w:val="0037460A"/>
    <w:rsid w:val="003816D4"/>
    <w:rsid w:val="003832FB"/>
    <w:rsid w:val="00392703"/>
    <w:rsid w:val="00396798"/>
    <w:rsid w:val="003A03B2"/>
    <w:rsid w:val="003A1505"/>
    <w:rsid w:val="003B3616"/>
    <w:rsid w:val="003B4DA6"/>
    <w:rsid w:val="003C3958"/>
    <w:rsid w:val="003C4C96"/>
    <w:rsid w:val="003C5485"/>
    <w:rsid w:val="003C6C44"/>
    <w:rsid w:val="003D4017"/>
    <w:rsid w:val="003E166A"/>
    <w:rsid w:val="003E1BAD"/>
    <w:rsid w:val="003E314B"/>
    <w:rsid w:val="003E469B"/>
    <w:rsid w:val="003E5270"/>
    <w:rsid w:val="003F5733"/>
    <w:rsid w:val="00402A6E"/>
    <w:rsid w:val="00403EDC"/>
    <w:rsid w:val="00405278"/>
    <w:rsid w:val="00406C1E"/>
    <w:rsid w:val="00433BD3"/>
    <w:rsid w:val="0044398B"/>
    <w:rsid w:val="00450280"/>
    <w:rsid w:val="00454759"/>
    <w:rsid w:val="0046160E"/>
    <w:rsid w:val="00463CAE"/>
    <w:rsid w:val="00463F1C"/>
    <w:rsid w:val="00464B21"/>
    <w:rsid w:val="00464E9E"/>
    <w:rsid w:val="00465061"/>
    <w:rsid w:val="00465C61"/>
    <w:rsid w:val="0047591F"/>
    <w:rsid w:val="00483EC2"/>
    <w:rsid w:val="004841D7"/>
    <w:rsid w:val="00490315"/>
    <w:rsid w:val="0049220D"/>
    <w:rsid w:val="004954C9"/>
    <w:rsid w:val="00496C0F"/>
    <w:rsid w:val="00497EE9"/>
    <w:rsid w:val="004A08FF"/>
    <w:rsid w:val="004B0429"/>
    <w:rsid w:val="004B35A4"/>
    <w:rsid w:val="004C1DDE"/>
    <w:rsid w:val="004C2336"/>
    <w:rsid w:val="004D0701"/>
    <w:rsid w:val="004D13BF"/>
    <w:rsid w:val="004D35EA"/>
    <w:rsid w:val="004D5C74"/>
    <w:rsid w:val="004E1828"/>
    <w:rsid w:val="004F2107"/>
    <w:rsid w:val="004F22C1"/>
    <w:rsid w:val="004F2722"/>
    <w:rsid w:val="004F3760"/>
    <w:rsid w:val="004F7534"/>
    <w:rsid w:val="004F7854"/>
    <w:rsid w:val="004F7CFA"/>
    <w:rsid w:val="00501ACB"/>
    <w:rsid w:val="00503887"/>
    <w:rsid w:val="00503C81"/>
    <w:rsid w:val="00504188"/>
    <w:rsid w:val="00504AF6"/>
    <w:rsid w:val="00504BAB"/>
    <w:rsid w:val="0051162B"/>
    <w:rsid w:val="00511B51"/>
    <w:rsid w:val="0051539F"/>
    <w:rsid w:val="00515F0E"/>
    <w:rsid w:val="0052552E"/>
    <w:rsid w:val="00526DCD"/>
    <w:rsid w:val="005271E1"/>
    <w:rsid w:val="00531A91"/>
    <w:rsid w:val="00532797"/>
    <w:rsid w:val="00543B97"/>
    <w:rsid w:val="00544C02"/>
    <w:rsid w:val="00562C42"/>
    <w:rsid w:val="00565F7B"/>
    <w:rsid w:val="0057492E"/>
    <w:rsid w:val="00575120"/>
    <w:rsid w:val="0058247E"/>
    <w:rsid w:val="005904E6"/>
    <w:rsid w:val="005A16D1"/>
    <w:rsid w:val="005A2C2B"/>
    <w:rsid w:val="005A567D"/>
    <w:rsid w:val="005A58E6"/>
    <w:rsid w:val="005A67E1"/>
    <w:rsid w:val="005A6F25"/>
    <w:rsid w:val="005A6F4D"/>
    <w:rsid w:val="005A72A6"/>
    <w:rsid w:val="005B643A"/>
    <w:rsid w:val="005C5932"/>
    <w:rsid w:val="005C674C"/>
    <w:rsid w:val="005D657F"/>
    <w:rsid w:val="005E1963"/>
    <w:rsid w:val="005E56C6"/>
    <w:rsid w:val="005E6EDA"/>
    <w:rsid w:val="005F7732"/>
    <w:rsid w:val="00604702"/>
    <w:rsid w:val="00605FFB"/>
    <w:rsid w:val="00613B76"/>
    <w:rsid w:val="00614868"/>
    <w:rsid w:val="006150BE"/>
    <w:rsid w:val="006160C8"/>
    <w:rsid w:val="00616CC1"/>
    <w:rsid w:val="0061771C"/>
    <w:rsid w:val="006201E1"/>
    <w:rsid w:val="00626D5B"/>
    <w:rsid w:val="0063122B"/>
    <w:rsid w:val="00640941"/>
    <w:rsid w:val="00642F34"/>
    <w:rsid w:val="00653B51"/>
    <w:rsid w:val="00657680"/>
    <w:rsid w:val="00657D1E"/>
    <w:rsid w:val="00663938"/>
    <w:rsid w:val="00670D3B"/>
    <w:rsid w:val="00681AB7"/>
    <w:rsid w:val="00682515"/>
    <w:rsid w:val="00687ABD"/>
    <w:rsid w:val="00687BD2"/>
    <w:rsid w:val="006B3FD8"/>
    <w:rsid w:val="006B4ACF"/>
    <w:rsid w:val="006B62F5"/>
    <w:rsid w:val="006C1068"/>
    <w:rsid w:val="006C349D"/>
    <w:rsid w:val="006C3F74"/>
    <w:rsid w:val="006C5FDF"/>
    <w:rsid w:val="006D3E0F"/>
    <w:rsid w:val="006D559A"/>
    <w:rsid w:val="006D6B67"/>
    <w:rsid w:val="006E6241"/>
    <w:rsid w:val="00702D05"/>
    <w:rsid w:val="007047F2"/>
    <w:rsid w:val="00705B7F"/>
    <w:rsid w:val="007120CD"/>
    <w:rsid w:val="00713CCF"/>
    <w:rsid w:val="00716A96"/>
    <w:rsid w:val="00722A91"/>
    <w:rsid w:val="007372DD"/>
    <w:rsid w:val="00743077"/>
    <w:rsid w:val="007444A6"/>
    <w:rsid w:val="00744CDD"/>
    <w:rsid w:val="00745812"/>
    <w:rsid w:val="007623AD"/>
    <w:rsid w:val="00770DFB"/>
    <w:rsid w:val="0077456F"/>
    <w:rsid w:val="007767A4"/>
    <w:rsid w:val="00782B7A"/>
    <w:rsid w:val="00782E94"/>
    <w:rsid w:val="007846BE"/>
    <w:rsid w:val="00786A26"/>
    <w:rsid w:val="00793A81"/>
    <w:rsid w:val="00794686"/>
    <w:rsid w:val="00797AC9"/>
    <w:rsid w:val="007A0DD1"/>
    <w:rsid w:val="007A1E4E"/>
    <w:rsid w:val="007A4E31"/>
    <w:rsid w:val="007A5499"/>
    <w:rsid w:val="007A781B"/>
    <w:rsid w:val="007B52B2"/>
    <w:rsid w:val="007B7CFF"/>
    <w:rsid w:val="007C0F17"/>
    <w:rsid w:val="007C4BC3"/>
    <w:rsid w:val="007D0678"/>
    <w:rsid w:val="007D58F3"/>
    <w:rsid w:val="007D7B7F"/>
    <w:rsid w:val="007E18AF"/>
    <w:rsid w:val="007E233F"/>
    <w:rsid w:val="007E580C"/>
    <w:rsid w:val="007E6C72"/>
    <w:rsid w:val="007F28D8"/>
    <w:rsid w:val="007F38BC"/>
    <w:rsid w:val="007F45D1"/>
    <w:rsid w:val="007F686D"/>
    <w:rsid w:val="007F794B"/>
    <w:rsid w:val="007F7DB3"/>
    <w:rsid w:val="0080098A"/>
    <w:rsid w:val="008024E4"/>
    <w:rsid w:val="00803482"/>
    <w:rsid w:val="00812E09"/>
    <w:rsid w:val="00812EBB"/>
    <w:rsid w:val="0082257D"/>
    <w:rsid w:val="00842256"/>
    <w:rsid w:val="008436A3"/>
    <w:rsid w:val="008442E0"/>
    <w:rsid w:val="008446CF"/>
    <w:rsid w:val="008469F7"/>
    <w:rsid w:val="008504D9"/>
    <w:rsid w:val="00854E61"/>
    <w:rsid w:val="008720F1"/>
    <w:rsid w:val="00873D01"/>
    <w:rsid w:val="008759BB"/>
    <w:rsid w:val="00881948"/>
    <w:rsid w:val="00881CCE"/>
    <w:rsid w:val="00883D68"/>
    <w:rsid w:val="00886E3E"/>
    <w:rsid w:val="008A2720"/>
    <w:rsid w:val="008B0203"/>
    <w:rsid w:val="008C016E"/>
    <w:rsid w:val="008C1054"/>
    <w:rsid w:val="008C38E2"/>
    <w:rsid w:val="008C7357"/>
    <w:rsid w:val="008C7864"/>
    <w:rsid w:val="008D0DCC"/>
    <w:rsid w:val="008D6ED6"/>
    <w:rsid w:val="008E2CDD"/>
    <w:rsid w:val="008E2EA6"/>
    <w:rsid w:val="008E36D0"/>
    <w:rsid w:val="008F7737"/>
    <w:rsid w:val="00900F17"/>
    <w:rsid w:val="009046FC"/>
    <w:rsid w:val="0090585C"/>
    <w:rsid w:val="0091304F"/>
    <w:rsid w:val="0092057F"/>
    <w:rsid w:val="009256AA"/>
    <w:rsid w:val="00930E16"/>
    <w:rsid w:val="00931E2D"/>
    <w:rsid w:val="00932E91"/>
    <w:rsid w:val="00933874"/>
    <w:rsid w:val="00936424"/>
    <w:rsid w:val="00940BDA"/>
    <w:rsid w:val="0094452C"/>
    <w:rsid w:val="0094613E"/>
    <w:rsid w:val="0094646D"/>
    <w:rsid w:val="00956FB7"/>
    <w:rsid w:val="009609C1"/>
    <w:rsid w:val="00966085"/>
    <w:rsid w:val="00966ED3"/>
    <w:rsid w:val="009718AC"/>
    <w:rsid w:val="00971C67"/>
    <w:rsid w:val="00972667"/>
    <w:rsid w:val="00975B60"/>
    <w:rsid w:val="00980089"/>
    <w:rsid w:val="009922F5"/>
    <w:rsid w:val="00996082"/>
    <w:rsid w:val="00997BE4"/>
    <w:rsid w:val="009A20CD"/>
    <w:rsid w:val="009B1C4B"/>
    <w:rsid w:val="009C4428"/>
    <w:rsid w:val="009C68C9"/>
    <w:rsid w:val="009C6F41"/>
    <w:rsid w:val="009D129E"/>
    <w:rsid w:val="009D33D5"/>
    <w:rsid w:val="009D5C6E"/>
    <w:rsid w:val="009D7E61"/>
    <w:rsid w:val="009E23BC"/>
    <w:rsid w:val="009E4357"/>
    <w:rsid w:val="009E622F"/>
    <w:rsid w:val="009F4D61"/>
    <w:rsid w:val="009F5F7E"/>
    <w:rsid w:val="009F66E9"/>
    <w:rsid w:val="00A10E44"/>
    <w:rsid w:val="00A110DF"/>
    <w:rsid w:val="00A11386"/>
    <w:rsid w:val="00A14685"/>
    <w:rsid w:val="00A1637F"/>
    <w:rsid w:val="00A16E64"/>
    <w:rsid w:val="00A20CB5"/>
    <w:rsid w:val="00A2231F"/>
    <w:rsid w:val="00A23E93"/>
    <w:rsid w:val="00A2686D"/>
    <w:rsid w:val="00A27872"/>
    <w:rsid w:val="00A27C41"/>
    <w:rsid w:val="00A372BA"/>
    <w:rsid w:val="00A40383"/>
    <w:rsid w:val="00A428E7"/>
    <w:rsid w:val="00A43A87"/>
    <w:rsid w:val="00A44F15"/>
    <w:rsid w:val="00A5352B"/>
    <w:rsid w:val="00A67F28"/>
    <w:rsid w:val="00A750DF"/>
    <w:rsid w:val="00A76D16"/>
    <w:rsid w:val="00A82EB6"/>
    <w:rsid w:val="00A83D82"/>
    <w:rsid w:val="00A9178A"/>
    <w:rsid w:val="00AB1620"/>
    <w:rsid w:val="00AB315D"/>
    <w:rsid w:val="00AB5A91"/>
    <w:rsid w:val="00AC2987"/>
    <w:rsid w:val="00AC48E8"/>
    <w:rsid w:val="00AE3244"/>
    <w:rsid w:val="00AF2423"/>
    <w:rsid w:val="00AF397A"/>
    <w:rsid w:val="00AF3B7A"/>
    <w:rsid w:val="00B025C3"/>
    <w:rsid w:val="00B14639"/>
    <w:rsid w:val="00B1614F"/>
    <w:rsid w:val="00B17B56"/>
    <w:rsid w:val="00B23CB2"/>
    <w:rsid w:val="00B30004"/>
    <w:rsid w:val="00B519FA"/>
    <w:rsid w:val="00B567E5"/>
    <w:rsid w:val="00B6108A"/>
    <w:rsid w:val="00B62A42"/>
    <w:rsid w:val="00B643E9"/>
    <w:rsid w:val="00B64CF2"/>
    <w:rsid w:val="00B64F74"/>
    <w:rsid w:val="00B65EE4"/>
    <w:rsid w:val="00B66901"/>
    <w:rsid w:val="00B74670"/>
    <w:rsid w:val="00B75BAB"/>
    <w:rsid w:val="00B80046"/>
    <w:rsid w:val="00B867FB"/>
    <w:rsid w:val="00B919D5"/>
    <w:rsid w:val="00B9215E"/>
    <w:rsid w:val="00B95AF1"/>
    <w:rsid w:val="00B95F06"/>
    <w:rsid w:val="00BA2A93"/>
    <w:rsid w:val="00BA2AD9"/>
    <w:rsid w:val="00BA710C"/>
    <w:rsid w:val="00BB17DF"/>
    <w:rsid w:val="00BC0FDE"/>
    <w:rsid w:val="00BC48F0"/>
    <w:rsid w:val="00BC579F"/>
    <w:rsid w:val="00BD1C87"/>
    <w:rsid w:val="00BE050C"/>
    <w:rsid w:val="00BE4A0B"/>
    <w:rsid w:val="00BE4E03"/>
    <w:rsid w:val="00BE6AC5"/>
    <w:rsid w:val="00C002AB"/>
    <w:rsid w:val="00C10E37"/>
    <w:rsid w:val="00C14935"/>
    <w:rsid w:val="00C22FB6"/>
    <w:rsid w:val="00C23753"/>
    <w:rsid w:val="00C26B7F"/>
    <w:rsid w:val="00C319B5"/>
    <w:rsid w:val="00C339A2"/>
    <w:rsid w:val="00C359DB"/>
    <w:rsid w:val="00C35DB2"/>
    <w:rsid w:val="00C3752E"/>
    <w:rsid w:val="00C4266E"/>
    <w:rsid w:val="00C44555"/>
    <w:rsid w:val="00C44EA0"/>
    <w:rsid w:val="00C63B82"/>
    <w:rsid w:val="00C64C10"/>
    <w:rsid w:val="00C67BC4"/>
    <w:rsid w:val="00C72E17"/>
    <w:rsid w:val="00C778FB"/>
    <w:rsid w:val="00C8012D"/>
    <w:rsid w:val="00C80B91"/>
    <w:rsid w:val="00C80C96"/>
    <w:rsid w:val="00C815EE"/>
    <w:rsid w:val="00C82696"/>
    <w:rsid w:val="00C85280"/>
    <w:rsid w:val="00C8668F"/>
    <w:rsid w:val="00C900C2"/>
    <w:rsid w:val="00C95E7C"/>
    <w:rsid w:val="00C95FA5"/>
    <w:rsid w:val="00CA4DDC"/>
    <w:rsid w:val="00CA6546"/>
    <w:rsid w:val="00CB0D16"/>
    <w:rsid w:val="00CB6D0B"/>
    <w:rsid w:val="00CC0373"/>
    <w:rsid w:val="00CC5C05"/>
    <w:rsid w:val="00CD1F9E"/>
    <w:rsid w:val="00CD3843"/>
    <w:rsid w:val="00CD6A26"/>
    <w:rsid w:val="00CD7F7F"/>
    <w:rsid w:val="00CE01A2"/>
    <w:rsid w:val="00CE1179"/>
    <w:rsid w:val="00CE3216"/>
    <w:rsid w:val="00CE6328"/>
    <w:rsid w:val="00CF119E"/>
    <w:rsid w:val="00CF38EA"/>
    <w:rsid w:val="00D0512F"/>
    <w:rsid w:val="00D10EBB"/>
    <w:rsid w:val="00D12A0D"/>
    <w:rsid w:val="00D130D7"/>
    <w:rsid w:val="00D177F4"/>
    <w:rsid w:val="00D20827"/>
    <w:rsid w:val="00D2148A"/>
    <w:rsid w:val="00D21D79"/>
    <w:rsid w:val="00D2261A"/>
    <w:rsid w:val="00D27489"/>
    <w:rsid w:val="00D27B00"/>
    <w:rsid w:val="00D35677"/>
    <w:rsid w:val="00D416C7"/>
    <w:rsid w:val="00D421B7"/>
    <w:rsid w:val="00D46C9D"/>
    <w:rsid w:val="00D55B9E"/>
    <w:rsid w:val="00D6127A"/>
    <w:rsid w:val="00D6520F"/>
    <w:rsid w:val="00D72A24"/>
    <w:rsid w:val="00D730C3"/>
    <w:rsid w:val="00D75ABB"/>
    <w:rsid w:val="00D76613"/>
    <w:rsid w:val="00D82D51"/>
    <w:rsid w:val="00D84368"/>
    <w:rsid w:val="00D86B3C"/>
    <w:rsid w:val="00D87645"/>
    <w:rsid w:val="00D93D13"/>
    <w:rsid w:val="00DB0758"/>
    <w:rsid w:val="00DB0DCB"/>
    <w:rsid w:val="00DB19C1"/>
    <w:rsid w:val="00DB4478"/>
    <w:rsid w:val="00DC22B0"/>
    <w:rsid w:val="00DC4C57"/>
    <w:rsid w:val="00DD5D1A"/>
    <w:rsid w:val="00DE272A"/>
    <w:rsid w:val="00DF0762"/>
    <w:rsid w:val="00DF2F95"/>
    <w:rsid w:val="00DF5CFE"/>
    <w:rsid w:val="00E00786"/>
    <w:rsid w:val="00E10EA1"/>
    <w:rsid w:val="00E118F7"/>
    <w:rsid w:val="00E15AF3"/>
    <w:rsid w:val="00E2102B"/>
    <w:rsid w:val="00E220FD"/>
    <w:rsid w:val="00E23DB0"/>
    <w:rsid w:val="00E268C5"/>
    <w:rsid w:val="00E27551"/>
    <w:rsid w:val="00E31525"/>
    <w:rsid w:val="00E33A31"/>
    <w:rsid w:val="00E33F0B"/>
    <w:rsid w:val="00E4508C"/>
    <w:rsid w:val="00E514EE"/>
    <w:rsid w:val="00E5536D"/>
    <w:rsid w:val="00E56558"/>
    <w:rsid w:val="00E56D72"/>
    <w:rsid w:val="00E60C49"/>
    <w:rsid w:val="00E663BD"/>
    <w:rsid w:val="00E6688E"/>
    <w:rsid w:val="00E66DFB"/>
    <w:rsid w:val="00E67652"/>
    <w:rsid w:val="00E752ED"/>
    <w:rsid w:val="00E828D6"/>
    <w:rsid w:val="00E82CC4"/>
    <w:rsid w:val="00E85FE6"/>
    <w:rsid w:val="00E86439"/>
    <w:rsid w:val="00E87A62"/>
    <w:rsid w:val="00E94B15"/>
    <w:rsid w:val="00E97160"/>
    <w:rsid w:val="00E97F4A"/>
    <w:rsid w:val="00EA26D1"/>
    <w:rsid w:val="00EA331A"/>
    <w:rsid w:val="00EA5A42"/>
    <w:rsid w:val="00EA61D0"/>
    <w:rsid w:val="00EB40BE"/>
    <w:rsid w:val="00EB5FF5"/>
    <w:rsid w:val="00EB7597"/>
    <w:rsid w:val="00EC0CD8"/>
    <w:rsid w:val="00EC75B8"/>
    <w:rsid w:val="00ED1F70"/>
    <w:rsid w:val="00ED6EC4"/>
    <w:rsid w:val="00EE1FDC"/>
    <w:rsid w:val="00EE39E7"/>
    <w:rsid w:val="00EE64FB"/>
    <w:rsid w:val="00EF3681"/>
    <w:rsid w:val="00EF51DE"/>
    <w:rsid w:val="00EF716D"/>
    <w:rsid w:val="00F03C21"/>
    <w:rsid w:val="00F05355"/>
    <w:rsid w:val="00F053AA"/>
    <w:rsid w:val="00F14D7A"/>
    <w:rsid w:val="00F20FFF"/>
    <w:rsid w:val="00F225CE"/>
    <w:rsid w:val="00F26389"/>
    <w:rsid w:val="00F30D8E"/>
    <w:rsid w:val="00F32521"/>
    <w:rsid w:val="00F347BF"/>
    <w:rsid w:val="00F40C77"/>
    <w:rsid w:val="00F41730"/>
    <w:rsid w:val="00F417E4"/>
    <w:rsid w:val="00F46185"/>
    <w:rsid w:val="00F601B9"/>
    <w:rsid w:val="00F643C9"/>
    <w:rsid w:val="00F665D0"/>
    <w:rsid w:val="00F70513"/>
    <w:rsid w:val="00F713DC"/>
    <w:rsid w:val="00F7336C"/>
    <w:rsid w:val="00F73A1C"/>
    <w:rsid w:val="00F80E36"/>
    <w:rsid w:val="00F90182"/>
    <w:rsid w:val="00F9709C"/>
    <w:rsid w:val="00FA4F26"/>
    <w:rsid w:val="00FB37FC"/>
    <w:rsid w:val="00FB4A87"/>
    <w:rsid w:val="00FB6A50"/>
    <w:rsid w:val="00FD0B30"/>
    <w:rsid w:val="00FD2289"/>
    <w:rsid w:val="00FD22F3"/>
    <w:rsid w:val="00FD366F"/>
    <w:rsid w:val="00FE0A94"/>
    <w:rsid w:val="00FE293D"/>
    <w:rsid w:val="00FE4840"/>
    <w:rsid w:val="00FE4CF8"/>
    <w:rsid w:val="00FE5136"/>
    <w:rsid w:val="00FE58D9"/>
    <w:rsid w:val="00FF3350"/>
    <w:rsid w:val="00FF6789"/>
    <w:rsid w:val="00FF7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3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36D"/>
    <w:pPr>
      <w:ind w:left="720"/>
    </w:pPr>
    <w:rPr>
      <w:lang w:val="en-MY"/>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nadia</cp:lastModifiedBy>
  <cp:revision>1</cp:revision>
  <dcterms:created xsi:type="dcterms:W3CDTF">2011-02-06T08:39:00Z</dcterms:created>
  <dcterms:modified xsi:type="dcterms:W3CDTF">2011-02-06T08:40:00Z</dcterms:modified>
</cp:coreProperties>
</file>